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2E" w:rsidRPr="00236C8F" w:rsidRDefault="00D52D94">
      <w:pPr>
        <w:rPr>
          <w:b/>
        </w:rPr>
      </w:pPr>
      <w:bookmarkStart w:id="0" w:name="_GoBack"/>
      <w:bookmarkEnd w:id="0"/>
      <w:r w:rsidRPr="00236C8F">
        <w:rPr>
          <w:b/>
        </w:rPr>
        <w:t>Sample Aims:</w:t>
      </w:r>
    </w:p>
    <w:p w:rsidR="00D52D94" w:rsidRPr="009636ED" w:rsidRDefault="00D52D94"/>
    <w:tbl>
      <w:tblPr>
        <w:tblStyle w:val="TableGrid"/>
        <w:tblW w:w="10885" w:type="dxa"/>
        <w:tblLook w:val="04A0" w:firstRow="1" w:lastRow="0" w:firstColumn="1" w:lastColumn="0" w:noHBand="0" w:noVBand="1"/>
      </w:tblPr>
      <w:tblGrid>
        <w:gridCol w:w="10885"/>
      </w:tblGrid>
      <w:tr w:rsidR="0096152A" w:rsidRPr="009636ED" w:rsidTr="009636ED">
        <w:tc>
          <w:tcPr>
            <w:tcW w:w="10885" w:type="dxa"/>
          </w:tcPr>
          <w:p w:rsidR="0096152A" w:rsidRPr="009636ED" w:rsidRDefault="0096152A" w:rsidP="009636ED">
            <w:r w:rsidRPr="009636ED">
              <w:t xml:space="preserve">Provide a well-rounded, comprehensive, 3-year curriculum instilling the fundamentals to pursue any career path (within the scope of internal medicine). This includes exposure to the multitude of subspecialty and practice varieties available to the internist while continuing to provide a comprehensive/intense experience in the specialty of internal medicine. </w:t>
            </w:r>
          </w:p>
          <w:p w:rsidR="0096152A" w:rsidRPr="009636ED" w:rsidRDefault="0096152A" w:rsidP="009636ED"/>
        </w:tc>
      </w:tr>
      <w:tr w:rsidR="0096152A" w:rsidRPr="009636ED" w:rsidTr="009636ED">
        <w:tc>
          <w:tcPr>
            <w:tcW w:w="10885" w:type="dxa"/>
          </w:tcPr>
          <w:p w:rsidR="0096152A" w:rsidRPr="009636ED" w:rsidRDefault="0096152A" w:rsidP="009636ED">
            <w:r w:rsidRPr="009636ED">
              <w:t xml:space="preserve">Educate residents in population health and QI so that they may become change leaders in future practices. This entails opportunities to participate in patient safety, QI, and resource management/cost conscious care initiatives. </w:t>
            </w:r>
          </w:p>
          <w:p w:rsidR="0096152A" w:rsidRPr="009636ED" w:rsidRDefault="0096152A" w:rsidP="009636ED"/>
        </w:tc>
      </w:tr>
      <w:tr w:rsidR="0096152A" w:rsidRPr="009636ED" w:rsidTr="009636ED">
        <w:tc>
          <w:tcPr>
            <w:tcW w:w="10885" w:type="dxa"/>
          </w:tcPr>
          <w:p w:rsidR="0096152A" w:rsidRPr="009636ED" w:rsidRDefault="0096152A" w:rsidP="009636ED">
            <w:r w:rsidRPr="009636ED">
              <w:t>Encourage development of competence in performing invasive procedures commonly encountered in internal medicine through use of simulation, bedside ultrasound, and opportunities to perform procedures in real time.</w:t>
            </w:r>
          </w:p>
          <w:p w:rsidR="0096152A" w:rsidRPr="009636ED" w:rsidRDefault="0096152A" w:rsidP="009636ED"/>
        </w:tc>
      </w:tr>
      <w:tr w:rsidR="0096152A" w:rsidRPr="009636ED" w:rsidTr="009636ED">
        <w:tc>
          <w:tcPr>
            <w:tcW w:w="10885" w:type="dxa"/>
          </w:tcPr>
          <w:p w:rsidR="0096152A" w:rsidRPr="009636ED" w:rsidRDefault="0096152A" w:rsidP="009636ED">
            <w:r w:rsidRPr="009636ED">
              <w:t>Foster an educational environment with a level power gradient empowering learners to provide constructive feedback to and concerning the program.</w:t>
            </w:r>
          </w:p>
          <w:p w:rsidR="0096152A" w:rsidRPr="009636ED" w:rsidRDefault="0096152A" w:rsidP="009636ED"/>
        </w:tc>
      </w:tr>
      <w:tr w:rsidR="0096152A" w:rsidRPr="009636ED" w:rsidTr="009636ED">
        <w:tc>
          <w:tcPr>
            <w:tcW w:w="10885" w:type="dxa"/>
          </w:tcPr>
          <w:p w:rsidR="0096152A" w:rsidRPr="009636ED" w:rsidRDefault="0096152A" w:rsidP="009636ED">
            <w:r w:rsidRPr="009636ED">
              <w:t xml:space="preserve">Provide residents with pertinent timely evaluation and feedback, thus allowing them to continuously improve their performance. </w:t>
            </w:r>
          </w:p>
          <w:p w:rsidR="0096152A" w:rsidRPr="009636ED" w:rsidRDefault="0096152A" w:rsidP="009636ED"/>
        </w:tc>
      </w:tr>
      <w:tr w:rsidR="0096152A" w:rsidRPr="009636ED" w:rsidTr="009636ED">
        <w:tc>
          <w:tcPr>
            <w:tcW w:w="10885" w:type="dxa"/>
          </w:tcPr>
          <w:p w:rsidR="0096152A" w:rsidRPr="009636ED" w:rsidRDefault="00D716AF" w:rsidP="009636ED">
            <w:r w:rsidRPr="009636ED">
              <w:t xml:space="preserve">Provide exemplary and comprehensive training in general pediatrics for a diverse group of resident who will be confident in their abilities to care for infants, children, and adolescents with the skills necessary to successfully collaborate as part of an inter-professional team in primary care or subspecialist practice. </w:t>
            </w:r>
          </w:p>
          <w:p w:rsidR="00D716AF" w:rsidRPr="009636ED" w:rsidRDefault="00D716AF" w:rsidP="009636ED"/>
        </w:tc>
      </w:tr>
      <w:tr w:rsidR="00D716AF" w:rsidRPr="009636ED" w:rsidTr="009636ED">
        <w:tc>
          <w:tcPr>
            <w:tcW w:w="10885" w:type="dxa"/>
          </w:tcPr>
          <w:p w:rsidR="00D716AF" w:rsidRPr="009636ED" w:rsidRDefault="00D716AF" w:rsidP="009636ED">
            <w:r w:rsidRPr="009636ED">
              <w:t>Provide excellent training to support resident proficiency in all pediatric procedures as outlined by the ACGME.</w:t>
            </w:r>
          </w:p>
          <w:p w:rsidR="00D716AF" w:rsidRPr="009636ED" w:rsidRDefault="00D716AF" w:rsidP="009636ED"/>
        </w:tc>
      </w:tr>
      <w:tr w:rsidR="00D716AF" w:rsidRPr="009636ED" w:rsidTr="009636ED">
        <w:tc>
          <w:tcPr>
            <w:tcW w:w="10885" w:type="dxa"/>
          </w:tcPr>
          <w:p w:rsidR="00D716AF" w:rsidRPr="009636ED" w:rsidRDefault="00D716AF" w:rsidP="009636ED">
            <w:r w:rsidRPr="009636ED">
              <w:t xml:space="preserve">Provide opportunities for residents to gain expertise in special pediatric interest areas outside of clinical medicine such as Quality Improvement, Leadership, Breast Feeding, Teaching, Advocacy, Public Health, Research and Global Health. </w:t>
            </w:r>
          </w:p>
          <w:p w:rsidR="00D716AF" w:rsidRPr="009636ED" w:rsidRDefault="00D716AF" w:rsidP="009636ED"/>
        </w:tc>
      </w:tr>
      <w:tr w:rsidR="00D716AF" w:rsidRPr="009636ED" w:rsidTr="009636ED">
        <w:tc>
          <w:tcPr>
            <w:tcW w:w="10885" w:type="dxa"/>
          </w:tcPr>
          <w:p w:rsidR="00D716AF" w:rsidRPr="009636ED" w:rsidRDefault="00D716AF" w:rsidP="009636ED">
            <w:r w:rsidRPr="009636ED">
              <w:t xml:space="preserve">Achieve a targeted satisfaction rate of 90% in the ADS academic survey on feedback to residents and to faculty regarding performance. </w:t>
            </w:r>
          </w:p>
          <w:p w:rsidR="00D716AF" w:rsidRPr="009636ED" w:rsidRDefault="00D716AF" w:rsidP="009636ED"/>
        </w:tc>
      </w:tr>
      <w:tr w:rsidR="00D716AF" w:rsidRPr="009636ED" w:rsidTr="009636ED">
        <w:tc>
          <w:tcPr>
            <w:tcW w:w="10885" w:type="dxa"/>
          </w:tcPr>
          <w:p w:rsidR="009636ED" w:rsidRPr="009636ED" w:rsidRDefault="009636ED" w:rsidP="009636ED">
            <w:pPr>
              <w:pStyle w:val="NoSpacing"/>
              <w:rPr>
                <w:rFonts w:ascii="Perpetua" w:hAnsi="Perpetua" w:cs="Arial"/>
                <w:sz w:val="24"/>
                <w:szCs w:val="24"/>
              </w:rPr>
            </w:pPr>
            <w:r w:rsidRPr="009636ED">
              <w:rPr>
                <w:rFonts w:ascii="Perpetua" w:hAnsi="Perpetua" w:cs="Arial"/>
                <w:sz w:val="24"/>
                <w:szCs w:val="24"/>
              </w:rPr>
              <w:t>To equip our residents with the knowledge and skills necessary to become life-long learners and practitioners of continuous professional and practice improvement.</w:t>
            </w:r>
          </w:p>
          <w:p w:rsidR="00D716AF" w:rsidRPr="009636ED" w:rsidRDefault="00D716AF" w:rsidP="009636ED"/>
        </w:tc>
      </w:tr>
      <w:tr w:rsidR="009636ED" w:rsidRPr="009636ED" w:rsidTr="009636ED">
        <w:tc>
          <w:tcPr>
            <w:tcW w:w="10885" w:type="dxa"/>
          </w:tcPr>
          <w:p w:rsidR="009636ED" w:rsidRPr="009636ED" w:rsidRDefault="009636ED" w:rsidP="009636ED">
            <w:pPr>
              <w:pStyle w:val="NoSpacing"/>
              <w:rPr>
                <w:rFonts w:ascii="Perpetua" w:hAnsi="Perpetua" w:cs="Arial"/>
                <w:sz w:val="24"/>
                <w:szCs w:val="24"/>
              </w:rPr>
            </w:pPr>
            <w:r w:rsidRPr="009636ED">
              <w:rPr>
                <w:rFonts w:ascii="Perpetua" w:hAnsi="Perpetua" w:cs="Arial"/>
                <w:sz w:val="24"/>
                <w:szCs w:val="24"/>
              </w:rPr>
              <w:t>Train outstanding emergency physicians capable of entering a wide spectrum of clinical and academic settings upon completion of training.</w:t>
            </w:r>
          </w:p>
          <w:p w:rsidR="009636ED" w:rsidRPr="009636ED" w:rsidRDefault="009636ED" w:rsidP="009636ED">
            <w:pPr>
              <w:pStyle w:val="NoSpacing"/>
              <w:rPr>
                <w:rFonts w:ascii="Perpetua" w:hAnsi="Perpetua" w:cs="Arial"/>
                <w:sz w:val="24"/>
                <w:szCs w:val="24"/>
              </w:rPr>
            </w:pPr>
          </w:p>
        </w:tc>
      </w:tr>
      <w:tr w:rsidR="009636ED" w:rsidRPr="009636ED" w:rsidTr="009636ED">
        <w:tc>
          <w:tcPr>
            <w:tcW w:w="10885" w:type="dxa"/>
          </w:tcPr>
          <w:p w:rsidR="009636ED" w:rsidRPr="009636ED" w:rsidRDefault="009636ED" w:rsidP="009636ED">
            <w:pPr>
              <w:pStyle w:val="NoSpacing"/>
              <w:rPr>
                <w:rFonts w:ascii="Perpetua" w:hAnsi="Perpetua" w:cs="Arial"/>
                <w:sz w:val="24"/>
                <w:szCs w:val="24"/>
              </w:rPr>
            </w:pPr>
            <w:r w:rsidRPr="009636ED">
              <w:rPr>
                <w:rFonts w:ascii="Perpetua" w:hAnsi="Perpetua" w:cs="Arial"/>
                <w:sz w:val="24"/>
                <w:szCs w:val="24"/>
              </w:rPr>
              <w:t xml:space="preserve">Maintain a high level of performance on program competency indicators, including; ACGME Faculty and Resident surveys, American Board of Emergency Medicine (ABEM) In-training exam, ABEM Qualifying exam; and ABEM </w:t>
            </w:r>
            <w:proofErr w:type="spellStart"/>
            <w:r w:rsidRPr="009636ED">
              <w:rPr>
                <w:rFonts w:ascii="Perpetua" w:hAnsi="Perpetua" w:cs="Arial"/>
                <w:sz w:val="24"/>
                <w:szCs w:val="24"/>
              </w:rPr>
              <w:t>ConCert</w:t>
            </w:r>
            <w:proofErr w:type="spellEnd"/>
            <w:r w:rsidRPr="009636ED">
              <w:rPr>
                <w:rFonts w:ascii="Perpetua" w:hAnsi="Perpetua" w:cs="Arial"/>
                <w:sz w:val="24"/>
                <w:szCs w:val="24"/>
              </w:rPr>
              <w:t xml:space="preserve"> (recertification) exam</w:t>
            </w:r>
            <w:r>
              <w:rPr>
                <w:rFonts w:ascii="Perpetua" w:hAnsi="Perpetua" w:cs="Arial"/>
                <w:sz w:val="24"/>
                <w:szCs w:val="24"/>
              </w:rPr>
              <w:t>.</w:t>
            </w:r>
          </w:p>
        </w:tc>
      </w:tr>
      <w:tr w:rsidR="009636ED" w:rsidRPr="009636ED" w:rsidTr="009636ED">
        <w:tc>
          <w:tcPr>
            <w:tcW w:w="10885" w:type="dxa"/>
          </w:tcPr>
          <w:p w:rsidR="009636ED" w:rsidRPr="009636ED" w:rsidRDefault="009636ED" w:rsidP="009636ED">
            <w:pPr>
              <w:pStyle w:val="NoSpacing"/>
              <w:rPr>
                <w:rFonts w:ascii="Perpetua" w:hAnsi="Perpetua" w:cs="Arial"/>
                <w:sz w:val="24"/>
                <w:szCs w:val="24"/>
              </w:rPr>
            </w:pPr>
            <w:r w:rsidRPr="009636ED">
              <w:rPr>
                <w:rFonts w:ascii="Perpetua" w:hAnsi="Perpetua" w:cs="Arial"/>
                <w:sz w:val="24"/>
                <w:szCs w:val="24"/>
              </w:rPr>
              <w:t>Maximize opportunities for improving resident wellness and resilience during residency training.</w:t>
            </w:r>
          </w:p>
          <w:p w:rsidR="009636ED" w:rsidRPr="009636ED" w:rsidRDefault="009636ED" w:rsidP="009636ED">
            <w:pPr>
              <w:pStyle w:val="NoSpacing"/>
              <w:ind w:left="360"/>
              <w:rPr>
                <w:rFonts w:ascii="Perpetua" w:hAnsi="Perpetua" w:cs="Arial"/>
                <w:sz w:val="24"/>
                <w:szCs w:val="24"/>
              </w:rPr>
            </w:pPr>
          </w:p>
        </w:tc>
      </w:tr>
      <w:tr w:rsidR="009636ED" w:rsidRPr="009636ED" w:rsidTr="009636ED">
        <w:tc>
          <w:tcPr>
            <w:tcW w:w="10885" w:type="dxa"/>
          </w:tcPr>
          <w:p w:rsidR="009636ED" w:rsidRDefault="009636ED" w:rsidP="009636ED">
            <w:pPr>
              <w:pStyle w:val="NoSpacing"/>
              <w:rPr>
                <w:rFonts w:ascii="Perpetua" w:hAnsi="Perpetua" w:cs="Arial"/>
                <w:sz w:val="24"/>
                <w:szCs w:val="24"/>
              </w:rPr>
            </w:pPr>
            <w:r w:rsidRPr="009636ED">
              <w:rPr>
                <w:rFonts w:ascii="Perpetua" w:hAnsi="Perpetua" w:cs="Arial"/>
                <w:sz w:val="24"/>
                <w:szCs w:val="24"/>
              </w:rPr>
              <w:t>To provide outstanding education to emergency medicine residents utilizing modern simulation within an enhanced, multimedia augmented comprehensive curriculum, using competency-based learning theory, based on the Model of the Clinical Practice of Emergency Medicine.</w:t>
            </w:r>
          </w:p>
          <w:p w:rsidR="009636ED" w:rsidRPr="009636ED" w:rsidRDefault="009636ED" w:rsidP="009636ED">
            <w:pPr>
              <w:pStyle w:val="NoSpacing"/>
              <w:rPr>
                <w:rFonts w:ascii="Perpetua" w:hAnsi="Perpetua" w:cs="Arial"/>
                <w:sz w:val="24"/>
                <w:szCs w:val="24"/>
              </w:rPr>
            </w:pPr>
          </w:p>
        </w:tc>
      </w:tr>
      <w:tr w:rsidR="009636ED" w:rsidRPr="009636ED" w:rsidTr="009636ED">
        <w:tc>
          <w:tcPr>
            <w:tcW w:w="10885" w:type="dxa"/>
          </w:tcPr>
          <w:p w:rsidR="009636ED" w:rsidRDefault="009636ED" w:rsidP="009636ED">
            <w:r w:rsidRPr="009636ED">
              <w:t>To produce emergency physicians with clinical competency in the performance and interpretation of point of care ultrasound applications across the breadth of emergency medicine.</w:t>
            </w:r>
          </w:p>
          <w:p w:rsidR="009636ED" w:rsidRPr="009636ED" w:rsidRDefault="009636ED" w:rsidP="009636ED"/>
        </w:tc>
      </w:tr>
    </w:tbl>
    <w:p w:rsidR="0096152A" w:rsidRPr="009636ED" w:rsidRDefault="0096152A"/>
    <w:p w:rsidR="0096152A" w:rsidRPr="009636ED" w:rsidRDefault="0096152A"/>
    <w:p w:rsidR="0096152A" w:rsidRPr="009636ED" w:rsidRDefault="0096152A"/>
    <w:sectPr w:rsidR="0096152A" w:rsidRPr="009636ED" w:rsidSect="009636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87102"/>
    <w:multiLevelType w:val="hybridMultilevel"/>
    <w:tmpl w:val="34B2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94"/>
    <w:rsid w:val="0008283F"/>
    <w:rsid w:val="00236C8F"/>
    <w:rsid w:val="006E312B"/>
    <w:rsid w:val="0096152A"/>
    <w:rsid w:val="009636ED"/>
    <w:rsid w:val="00D52D94"/>
    <w:rsid w:val="00D716AF"/>
    <w:rsid w:val="00E7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3C3E-08A7-4D09-9978-9357CC9C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Theme="minorHAnsi" w:hAnsi="Perpetua"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36E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Heather L.</dc:creator>
  <cp:keywords/>
  <dc:description/>
  <cp:lastModifiedBy>Newton, Heather L.</cp:lastModifiedBy>
  <cp:revision>2</cp:revision>
  <cp:lastPrinted>2017-10-09T14:16:00Z</cp:lastPrinted>
  <dcterms:created xsi:type="dcterms:W3CDTF">2018-02-21T15:39:00Z</dcterms:created>
  <dcterms:modified xsi:type="dcterms:W3CDTF">2018-02-21T15:39:00Z</dcterms:modified>
</cp:coreProperties>
</file>